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F4386">
      <w:pPr>
        <w:spacing w:line="360" w:lineRule="auto"/>
        <w:jc w:val="center"/>
        <w:rPr>
          <w:rFonts w:ascii="宋体" w:hAnsi="宋体" w:eastAsia="宋体"/>
          <w:sz w:val="24"/>
          <w:szCs w:val="24"/>
          <w:lang w:val="en-US" w:eastAsia="zh-CN"/>
        </w:rPr>
      </w:pPr>
      <w:r>
        <w:rPr>
          <w:rFonts w:ascii="宋体" w:hAnsi="宋体" w:eastAsia="宋体"/>
          <w:sz w:val="24"/>
          <w:szCs w:val="24"/>
          <w:lang w:val="en-US" w:eastAsia="zh-CN"/>
        </w:rPr>
        <w:t>在线色度分析仪技术要求</w:t>
      </w:r>
    </w:p>
    <w:p w14:paraId="210F091F">
      <w:pPr>
        <w:spacing w:line="360" w:lineRule="auto"/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工况：</w:t>
      </w:r>
    </w:p>
    <w:p w14:paraId="0373AE93">
      <w:pPr>
        <w:spacing w:line="360" w:lineRule="auto"/>
        <w:jc w:val="left"/>
        <w:rPr>
          <w:rFonts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主管道口径DN15</w:t>
      </w:r>
    </w:p>
    <w:p w14:paraId="0B961DAB">
      <w:pPr>
        <w:spacing w:line="360" w:lineRule="auto"/>
        <w:jc w:val="left"/>
        <w:rPr>
          <w:b w:val="0"/>
          <w:bCs w:val="0"/>
          <w:sz w:val="24"/>
          <w:szCs w:val="24"/>
          <w:lang w:val="en-US" w:eastAsia="zh-CN"/>
        </w:rPr>
      </w:pPr>
      <w:r>
        <w:rPr>
          <w:b w:val="0"/>
          <w:bCs w:val="0"/>
          <w:sz w:val="24"/>
          <w:szCs w:val="24"/>
          <w:lang w:val="en-US" w:eastAsia="zh-CN"/>
        </w:rPr>
        <w:t>操作压力2.65MPaG，耐压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等级：≥PN40 </w:t>
      </w:r>
    </w:p>
    <w:p w14:paraId="133DA798">
      <w:pPr>
        <w:spacing w:line="360" w:lineRule="auto"/>
        <w:jc w:val="left"/>
        <w:rPr>
          <w:b w:val="0"/>
          <w:bCs w:val="0"/>
          <w:sz w:val="24"/>
          <w:szCs w:val="24"/>
          <w:lang w:val="en-US" w:eastAsia="zh-CN"/>
        </w:rPr>
      </w:pPr>
      <w:r>
        <w:rPr>
          <w:b w:val="0"/>
          <w:bCs w:val="0"/>
          <w:sz w:val="24"/>
          <w:szCs w:val="24"/>
          <w:lang w:val="en-US" w:eastAsia="zh-CN"/>
        </w:rPr>
        <w:t>操作温度：90～120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℃</w:t>
      </w:r>
    </w:p>
    <w:p w14:paraId="2FD07C2D">
      <w:pPr>
        <w:spacing w:line="360" w:lineRule="auto"/>
        <w:jc w:val="left"/>
        <w:rPr>
          <w:b w:val="0"/>
          <w:bCs w:val="0"/>
          <w:sz w:val="24"/>
          <w:szCs w:val="24"/>
          <w:lang w:val="en-US" w:eastAsia="zh-CN"/>
        </w:rPr>
      </w:pPr>
      <w:r>
        <w:rPr>
          <w:b w:val="0"/>
          <w:bCs w:val="0"/>
          <w:sz w:val="24"/>
          <w:szCs w:val="24"/>
          <w:lang w:val="en-US" w:eastAsia="zh-CN"/>
        </w:rPr>
        <w:t>操作密度1120kg/m3</w:t>
      </w:r>
    </w:p>
    <w:p w14:paraId="1C62ECE2">
      <w:pPr>
        <w:spacing w:line="360" w:lineRule="auto"/>
        <w:jc w:val="left"/>
        <w:rPr>
          <w:b w:val="0"/>
          <w:bCs w:val="0"/>
          <w:sz w:val="24"/>
          <w:szCs w:val="24"/>
          <w:lang w:val="en-US" w:eastAsia="zh-CN"/>
        </w:rPr>
      </w:pPr>
      <w:r>
        <w:rPr>
          <w:b w:val="0"/>
          <w:bCs w:val="0"/>
          <w:sz w:val="24"/>
          <w:szCs w:val="24"/>
          <w:lang w:val="en-US" w:eastAsia="zh-CN"/>
        </w:rPr>
        <w:t>粘度0.17cp</w:t>
      </w:r>
    </w:p>
    <w:p w14:paraId="50B020A4">
      <w:pPr>
        <w:spacing w:line="360" w:lineRule="auto"/>
        <w:jc w:val="left"/>
        <w:rPr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物料状态：正常情况无色透明</w:t>
      </w:r>
      <w:r>
        <w:rPr>
          <w:b w:val="0"/>
          <w:bCs w:val="0"/>
          <w:sz w:val="24"/>
          <w:szCs w:val="24"/>
          <w:lang w:val="en-US" w:eastAsia="zh-CN"/>
        </w:rPr>
        <w:t>、夹带微量灰白色粉末</w:t>
      </w:r>
    </w:p>
    <w:p w14:paraId="4006CC6D">
      <w:pPr>
        <w:spacing w:line="360" w:lineRule="auto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异常情况反应液变黑（溶解）夹杂黑色颗粒</w:t>
      </w:r>
    </w:p>
    <w:p w14:paraId="3968A673"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---</w:t>
      </w:r>
      <w:r>
        <w:rPr>
          <w:rFonts w:ascii="宋体" w:hAnsi="宋体" w:eastAsia="宋体"/>
          <w:sz w:val="24"/>
          <w:szCs w:val="24"/>
        </w:rPr>
        <w:t>技术要求</w:t>
      </w:r>
      <w:r>
        <w:rPr>
          <w:rFonts w:hint="eastAsia" w:ascii="宋体" w:hAnsi="宋体" w:eastAsia="宋体"/>
          <w:sz w:val="24"/>
          <w:szCs w:val="24"/>
        </w:rPr>
        <w:t>：</w:t>
      </w:r>
    </w:p>
    <w:p w14:paraId="1D98217D"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★测量原理：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光谱成像原理</w:t>
      </w:r>
    </w:p>
    <w:p w14:paraId="0C0C366E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★测量方法：流通式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管道</w:t>
      </w:r>
      <w:r>
        <w:rPr>
          <w:rFonts w:hint="eastAsia" w:ascii="宋体" w:hAnsi="宋体" w:eastAsia="宋体"/>
          <w:sz w:val="24"/>
          <w:szCs w:val="24"/>
        </w:rPr>
        <w:t>在线安装</w:t>
      </w:r>
    </w:p>
    <w:p w14:paraId="3B200191">
      <w:pPr>
        <w:spacing w:line="360" w:lineRule="auto"/>
        <w:jc w:val="left"/>
        <w:rPr>
          <w:rFonts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传感器为免维护传感器</w:t>
      </w:r>
      <w:r>
        <w:rPr>
          <w:rFonts w:hint="eastAsia" w:ascii="宋体" w:hAnsi="宋体" w:eastAsia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一年维护保养1次</w:t>
      </w:r>
    </w:p>
    <w:p w14:paraId="59213009">
      <w:pPr>
        <w:spacing w:line="360" w:lineRule="auto"/>
        <w:jc w:val="left"/>
        <w:rPr>
          <w:rFonts w:ascii="宋体" w:hAnsi="宋体" w:eastAsia="宋体"/>
          <w:color w:val="auto"/>
          <w:sz w:val="24"/>
          <w:szCs w:val="24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>采用Lab色彩标准，搭配高分辨率图像传感器，</w:t>
      </w:r>
      <w:r>
        <w:rPr>
          <w:rFonts w:ascii="宋体" w:hAnsi="宋体" w:eastAsia="宋体"/>
          <w:color w:val="auto"/>
          <w:sz w:val="24"/>
          <w:szCs w:val="24"/>
        </w:rPr>
        <w:t>带背景浊度补偿功能</w:t>
      </w:r>
      <w:r>
        <w:rPr>
          <w:rFonts w:hint="eastAsia" w:ascii="宋体" w:hAnsi="宋体" w:eastAsia="宋体"/>
          <w:color w:val="auto"/>
          <w:sz w:val="24"/>
          <w:szCs w:val="24"/>
        </w:rPr>
        <w:t>；</w:t>
      </w:r>
    </w:p>
    <w:p w14:paraId="0BBBE86E">
      <w:pPr>
        <w:spacing w:line="360" w:lineRule="auto"/>
        <w:jc w:val="left"/>
        <w:rPr>
          <w:rFonts w:hint="eastAsia" w:ascii="宋体" w:hAnsi="宋体" w:eastAsia="宋体" w:cs="Malgun Gothic Semilight"/>
          <w:sz w:val="24"/>
          <w:szCs w:val="24"/>
          <w:lang w:val="en-US" w:eastAsia="zh-CN"/>
        </w:rPr>
      </w:pPr>
      <w:r>
        <w:rPr>
          <w:rFonts w:hint="eastAsia" w:ascii="宋体" w:hAnsi="宋体" w:eastAsia="宋体" w:cs="Malgun Gothic Semilight"/>
          <w:sz w:val="24"/>
          <w:szCs w:val="24"/>
        </w:rPr>
        <w:t>管道材质：</w:t>
      </w:r>
      <w:r>
        <w:rPr>
          <w:rFonts w:hint="eastAsia" w:ascii="宋体" w:hAnsi="宋体" w:eastAsia="宋体" w:cs="Malgun Gothic Semilight"/>
          <w:sz w:val="24"/>
          <w:szCs w:val="24"/>
          <w:lang w:val="en-US" w:eastAsia="zh-CN"/>
        </w:rPr>
        <w:t>316L喷涂F46</w:t>
      </w:r>
      <w:r>
        <w:rPr>
          <w:rFonts w:hint="eastAsia" w:ascii="宋体" w:hAnsi="宋体" w:eastAsia="宋体" w:cs="Malgun Gothic Semilight"/>
          <w:sz w:val="24"/>
          <w:szCs w:val="24"/>
        </w:rPr>
        <w:t>，316L模压PFA</w:t>
      </w:r>
    </w:p>
    <w:p w14:paraId="267DE178">
      <w:pPr>
        <w:spacing w:line="360" w:lineRule="auto"/>
        <w:jc w:val="left"/>
        <w:rPr>
          <w:rFonts w:hint="eastAsia" w:ascii="宋体" w:hAnsi="宋体" w:eastAsia="宋体" w:cs="Malgun Gothic Semilight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★测量管材质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Malgun Gothic Semilight"/>
          <w:sz w:val="24"/>
          <w:szCs w:val="24"/>
          <w:lang w:val="en-US" w:eastAsia="zh-CN"/>
        </w:rPr>
        <w:t>316L喷涂F46</w:t>
      </w:r>
      <w:r>
        <w:rPr>
          <w:rFonts w:hint="eastAsia" w:ascii="宋体" w:hAnsi="宋体" w:eastAsia="宋体" w:cs="Malgun Gothic Semilight"/>
          <w:sz w:val="24"/>
          <w:szCs w:val="24"/>
        </w:rPr>
        <w:t>，316L模压PFA</w:t>
      </w:r>
    </w:p>
    <w:p w14:paraId="27845350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测量范围：4-20mA连续响应(0-1000)</w:t>
      </w:r>
    </w:p>
    <w:p w14:paraId="7634685A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示值范围V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/>
          <w:sz w:val="24"/>
          <w:szCs w:val="24"/>
        </w:rPr>
        <w:t>单色模式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0-1000/-1000-1000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, </w:t>
      </w:r>
      <w:r>
        <w:rPr>
          <w:rFonts w:hint="eastAsia" w:ascii="宋体" w:hAnsi="宋体" w:eastAsia="宋体"/>
          <w:sz w:val="24"/>
          <w:szCs w:val="24"/>
        </w:rPr>
        <w:t>色差模式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/>
          <w:sz w:val="24"/>
          <w:szCs w:val="24"/>
        </w:rPr>
        <w:t>0-1000</w:t>
      </w:r>
    </w:p>
    <w:p w14:paraId="1B193DFE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检测精度(V)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/>
          <w:sz w:val="24"/>
          <w:szCs w:val="24"/>
        </w:rPr>
        <w:t>单色模式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±16（3.2%）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/>
          <w:sz w:val="24"/>
          <w:szCs w:val="24"/>
        </w:rPr>
        <w:t>色差模式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40（4%）</w:t>
      </w:r>
    </w:p>
    <w:p w14:paraId="6BD9F5CD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示值精度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/>
          <w:sz w:val="24"/>
          <w:szCs w:val="24"/>
        </w:rPr>
        <w:t>1（0.1%）</w:t>
      </w:r>
    </w:p>
    <w:p w14:paraId="6500DA0B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重复精度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/>
          <w:sz w:val="24"/>
          <w:szCs w:val="24"/>
        </w:rPr>
        <w:t>(L,a,b)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/>
          <w:sz w:val="24"/>
          <w:szCs w:val="24"/>
        </w:rPr>
        <w:t>±6（1.2%）</w:t>
      </w:r>
    </w:p>
    <w:p w14:paraId="3B9201B2"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零点漂移(a,b)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/>
          <w:sz w:val="24"/>
          <w:szCs w:val="24"/>
        </w:rPr>
        <w:t>±16（3.2%）</w:t>
      </w:r>
    </w:p>
    <w:p w14:paraId="6B2F03F0">
      <w:pPr>
        <w:spacing w:line="360" w:lineRule="auto"/>
        <w:jc w:val="left"/>
        <w:rPr>
          <w:rFonts w:ascii="宋体" w:hAnsi="宋体" w:eastAsia="宋体"/>
          <w:sz w:val="24"/>
          <w:szCs w:val="24"/>
          <w:lang w:val="en-US"/>
        </w:rPr>
      </w:pPr>
      <w:r>
        <w:rPr>
          <w:rFonts w:hint="eastAsia" w:ascii="宋体" w:hAnsi="宋体" w:eastAsia="宋体"/>
          <w:sz w:val="24"/>
          <w:szCs w:val="24"/>
        </w:rPr>
        <w:t>系统响应时间：</w:t>
      </w:r>
      <w:r>
        <w:rPr>
          <w:rFonts w:ascii="Times New Roman" w:hAnsi="Times New Roman" w:eastAsia="宋体" w:cs="Times New Roman"/>
          <w:sz w:val="24"/>
          <w:szCs w:val="24"/>
        </w:rPr>
        <w:t>&lt;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200ms</w:t>
      </w:r>
    </w:p>
    <w:p w14:paraId="7D295B95">
      <w:pPr>
        <w:spacing w:line="360" w:lineRule="auto"/>
        <w:jc w:val="left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</w:rPr>
        <w:t>网络数字输出</w:t>
      </w:r>
      <w:r>
        <w:rPr>
          <w:rFonts w:hint="eastAsia" w:ascii="宋体" w:hAnsi="宋体" w:eastAsia="宋体"/>
          <w:sz w:val="24"/>
          <w:szCs w:val="24"/>
          <w:lang w:eastAsia="zh-CN"/>
        </w:rPr>
        <w:t>，通过TCP/IP方式通讯，同时输出RTSP视频流（可选）可连接多个终端，通过UDP方式输出响应数据</w:t>
      </w:r>
    </w:p>
    <w:p w14:paraId="5151654A">
      <w:pPr>
        <w:spacing w:line="360" w:lineRule="auto"/>
        <w:jc w:val="left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智能仪表数字输出：RS-485 modbus总线</w:t>
      </w:r>
    </w:p>
    <w:p w14:paraId="2DCACE28">
      <w:pPr>
        <w:tabs>
          <w:tab w:val="left" w:pos="3495"/>
        </w:tabs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供电电源：24VDC供电</w:t>
      </w:r>
    </w:p>
    <w:p w14:paraId="471940C1"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电气接口</w:t>
      </w:r>
      <w:r>
        <w:rPr>
          <w:rFonts w:hint="eastAsia" w:ascii="宋体" w:hAnsi="宋体" w:eastAsia="宋体"/>
          <w:sz w:val="24"/>
          <w:szCs w:val="24"/>
        </w:rPr>
        <w:t>：</w:t>
      </w:r>
      <w:r>
        <w:rPr>
          <w:rFonts w:ascii="宋体" w:hAnsi="宋体" w:eastAsia="宋体"/>
          <w:sz w:val="24"/>
          <w:szCs w:val="24"/>
        </w:rPr>
        <w:t>1/2”NPT</w:t>
      </w:r>
    </w:p>
    <w:p w14:paraId="5125123F">
      <w:pPr>
        <w:spacing w:line="360" w:lineRule="auto"/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防护等级：IP6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6</w:t>
      </w:r>
    </w:p>
    <w:p w14:paraId="39204B05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防爆等级：</w:t>
      </w:r>
      <w:r>
        <w:rPr>
          <w:rFonts w:hint="eastAsia" w:ascii="宋体" w:hAnsi="宋体" w:eastAsia="宋体"/>
          <w:color w:val="auto"/>
          <w:sz w:val="24"/>
          <w:szCs w:val="24"/>
        </w:rPr>
        <w:t>ExdbⅡ</w:t>
      </w:r>
      <w:r>
        <w:rPr>
          <w:rFonts w:ascii="宋体" w:hAnsi="宋体" w:eastAsia="宋体"/>
          <w:color w:val="auto"/>
          <w:sz w:val="24"/>
          <w:szCs w:val="24"/>
        </w:rPr>
        <w:t>C</w:t>
      </w:r>
      <w:r>
        <w:rPr>
          <w:rFonts w:hint="eastAsia" w:ascii="宋体" w:hAnsi="宋体" w:eastAsia="宋体"/>
          <w:color w:val="auto"/>
          <w:sz w:val="24"/>
          <w:szCs w:val="24"/>
        </w:rPr>
        <w:t>T</w:t>
      </w:r>
      <w:r>
        <w:rPr>
          <w:rFonts w:ascii="宋体" w:hAnsi="宋体" w:eastAsia="宋体"/>
          <w:color w:val="auto"/>
          <w:sz w:val="24"/>
          <w:szCs w:val="24"/>
        </w:rPr>
        <w:t>4</w:t>
      </w:r>
      <w:r>
        <w:rPr>
          <w:rFonts w:hint="eastAsia" w:ascii="宋体" w:hAnsi="宋体" w:eastAsia="宋体"/>
          <w:color w:val="auto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提供防爆证书，资质证明文件等</w:t>
      </w:r>
    </w:p>
    <w:p w14:paraId="25F54EF1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货款支付:货款支付使用银行承兑。 设备到货经使用部门</w:t>
      </w:r>
      <w:r>
        <w:rPr>
          <w:rFonts w:hint="eastAsia" w:ascii="宋体" w:hAnsi="宋体"/>
          <w:sz w:val="24"/>
          <w:szCs w:val="24"/>
          <w:lang w:val="en-US" w:eastAsia="zh-CN"/>
        </w:rPr>
        <w:t>试用合格并凭</w:t>
      </w:r>
      <w:r>
        <w:rPr>
          <w:rFonts w:hint="eastAsia" w:ascii="宋体" w:hAnsi="宋体" w:eastAsia="宋体"/>
          <w:sz w:val="24"/>
          <w:szCs w:val="24"/>
        </w:rPr>
        <w:t>使用部门</w:t>
      </w:r>
      <w:r>
        <w:rPr>
          <w:rFonts w:hint="eastAsia" w:ascii="宋体" w:hAnsi="宋体"/>
          <w:sz w:val="24"/>
          <w:szCs w:val="24"/>
          <w:lang w:val="en-US" w:eastAsia="zh-CN"/>
        </w:rPr>
        <w:t>试用</w:t>
      </w:r>
      <w:r>
        <w:rPr>
          <w:rFonts w:hint="eastAsia" w:ascii="宋体" w:hAnsi="宋体" w:eastAsia="宋体"/>
          <w:sz w:val="24"/>
          <w:szCs w:val="24"/>
        </w:rPr>
        <w:t>合格报告，供方开具全额13%增值税发票，以开票为期，3个月内需方向供方支付合同总金额的90%货款，留10%质保金。</w:t>
      </w:r>
    </w:p>
    <w:p w14:paraId="5E2179B0">
      <w:pPr>
        <w:spacing w:line="360" w:lineRule="auto"/>
        <w:jc w:val="left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最高限价 12</w:t>
      </w:r>
      <w:bookmarkStart w:id="0" w:name="_GoBack"/>
      <w:bookmarkEnd w:id="0"/>
      <w:r>
        <w:rPr>
          <w:rFonts w:hint="eastAsia" w:ascii="宋体" w:hAnsi="宋体"/>
          <w:sz w:val="24"/>
          <w:szCs w:val="24"/>
          <w:lang w:val="en-US" w:eastAsia="zh-CN"/>
        </w:rPr>
        <w:t>万</w:t>
      </w:r>
    </w:p>
    <w:sectPr>
      <w:pgSz w:w="11906" w:h="16838"/>
      <w:pgMar w:top="1327" w:right="1349" w:bottom="1327" w:left="106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000000"/>
    <w:rsid w:val="04545D1C"/>
    <w:rsid w:val="0B3D3231"/>
    <w:rsid w:val="263020D6"/>
    <w:rsid w:val="3FD854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List Paragraph"/>
    <w:basedOn w:val="1"/>
    <w:qFormat/>
    <w:uiPriority w:val="0"/>
    <w:pPr>
      <w:ind w:firstLine="200" w:firstLineChars="200"/>
    </w:pPr>
  </w:style>
  <w:style w:type="paragraph" w:customStyle="1" w:styleId="10">
    <w:name w:val="Normal_0"/>
    <w:qFormat/>
    <w:uiPriority w:val="0"/>
    <w:pPr>
      <w:spacing w:before="120" w:after="240"/>
      <w:jc w:val="both"/>
    </w:pPr>
    <w:rPr>
      <w:rFonts w:ascii="Calibri" w:hAnsi="Calibri" w:eastAsia="Calibri" w:cs="Times New Roman"/>
      <w:kern w:val="0"/>
      <w:sz w:val="22"/>
      <w:szCs w:val="22"/>
      <w:lang w:val="ru-RU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3B23B1FE-8A42-4D39-9541-A1F0F58D22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484</Words>
  <Characters>658</Characters>
  <Lines>0</Lines>
  <Paragraphs>29</Paragraphs>
  <TotalTime>4</TotalTime>
  <ScaleCrop>false</ScaleCrop>
  <LinksUpToDate>false</LinksUpToDate>
  <CharactersWithSpaces>666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2021-12-28T02:40:00Z</dcterms:created>
  <dc:creator>FH</dc:creator>
  <cp:lastModifiedBy>郑</cp:lastModifiedBy>
  <dcterms:modified xsi:type="dcterms:W3CDTF">2025-09-29T11:42:26Z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eyJoZGlkIjoiNGJhYTg3NDAyN2U5MDRiNmNhMjBlNzljYTQzNWEyMWMiLCJ1c2VySWQiOiI1NjkxMjc2OTEifQ==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6EB23603492C45C6933D133821E1C91D_12</vt:lpwstr>
  </property>
</Properties>
</file>